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5A771E2A" w:rsidR="001E09B1" w:rsidRPr="00982B44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982B44">
        <w:rPr>
          <w:lang w:val="en-US"/>
        </w:rPr>
        <w:t>3GPP TSG-RAN WG</w:t>
      </w:r>
      <w:r w:rsidR="0043369E" w:rsidRPr="00982B44">
        <w:rPr>
          <w:lang w:val="en-US"/>
        </w:rPr>
        <w:t>2</w:t>
      </w:r>
      <w:r w:rsidRPr="00982B44">
        <w:rPr>
          <w:lang w:val="en-US"/>
        </w:rPr>
        <w:t>#10</w:t>
      </w:r>
      <w:r w:rsidR="0043369E" w:rsidRPr="00982B44">
        <w:rPr>
          <w:lang w:val="en-US"/>
        </w:rPr>
        <w:t>5</w:t>
      </w:r>
      <w:r w:rsidR="000749EB" w:rsidRPr="00982B44">
        <w:rPr>
          <w:lang w:val="en-US"/>
        </w:rPr>
        <w:t>bis</w:t>
      </w:r>
      <w:r w:rsidRPr="00982B44">
        <w:rPr>
          <w:lang w:val="en-US"/>
        </w:rPr>
        <w:tab/>
      </w:r>
      <w:r w:rsidR="00DE14B7" w:rsidRPr="00982B44">
        <w:rPr>
          <w:szCs w:val="24"/>
          <w:lang w:val="en-US"/>
        </w:rPr>
        <w:t>R2-1903931</w:t>
      </w:r>
    </w:p>
    <w:p w14:paraId="46CB7C74" w14:textId="5C9ACF05" w:rsidR="002922AE" w:rsidRPr="00982B44" w:rsidRDefault="0050314B" w:rsidP="002922AE">
      <w:pPr>
        <w:pStyle w:val="3GPPHeader"/>
        <w:rPr>
          <w:sz w:val="22"/>
          <w:szCs w:val="22"/>
          <w:lang w:val="en-US"/>
        </w:rPr>
      </w:pPr>
      <w:r w:rsidRPr="00982B44">
        <w:rPr>
          <w:rFonts w:cs="Arial"/>
          <w:bCs/>
          <w:sz w:val="26"/>
          <w:szCs w:val="26"/>
          <w:lang w:val="en-US"/>
        </w:rPr>
        <w:t xml:space="preserve">Xi’an, P.R. </w:t>
      </w:r>
      <w:r w:rsidR="00111324">
        <w:rPr>
          <w:rFonts w:cs="Arial"/>
          <w:bCs/>
          <w:sz w:val="26"/>
          <w:szCs w:val="26"/>
          <w:lang w:val="en-US"/>
        </w:rPr>
        <w:t xml:space="preserve">of </w:t>
      </w:r>
      <w:bookmarkStart w:id="1" w:name="_GoBack"/>
      <w:bookmarkEnd w:id="1"/>
      <w:r w:rsidRPr="00982B44">
        <w:rPr>
          <w:rFonts w:cs="Arial"/>
          <w:bCs/>
          <w:sz w:val="26"/>
          <w:szCs w:val="26"/>
          <w:lang w:val="en-US"/>
        </w:rPr>
        <w:t>China, April 8th – 12th 2019</w:t>
      </w:r>
    </w:p>
    <w:p w14:paraId="07723AA5" w14:textId="26CD0781" w:rsidR="002922AE" w:rsidRPr="00982B44" w:rsidRDefault="002922AE" w:rsidP="002922AE">
      <w:pPr>
        <w:pStyle w:val="3GPPHeader"/>
        <w:rPr>
          <w:sz w:val="22"/>
          <w:szCs w:val="22"/>
          <w:lang w:val="en-US"/>
        </w:rPr>
      </w:pPr>
      <w:r w:rsidRPr="00982B44">
        <w:rPr>
          <w:sz w:val="22"/>
          <w:szCs w:val="22"/>
          <w:lang w:val="en-US"/>
        </w:rPr>
        <w:t>Agenda Item:</w:t>
      </w:r>
      <w:r w:rsidRPr="00982B44">
        <w:rPr>
          <w:sz w:val="22"/>
          <w:szCs w:val="22"/>
          <w:lang w:val="en-US"/>
        </w:rPr>
        <w:tab/>
      </w:r>
      <w:r w:rsidR="0043369E" w:rsidRPr="00982B44">
        <w:rPr>
          <w:sz w:val="22"/>
          <w:szCs w:val="22"/>
          <w:lang w:val="en-US"/>
        </w:rPr>
        <w:t>11.</w:t>
      </w:r>
      <w:r w:rsidR="006F58B0" w:rsidRPr="00982B44">
        <w:rPr>
          <w:sz w:val="22"/>
          <w:szCs w:val="22"/>
          <w:lang w:val="en-US"/>
        </w:rPr>
        <w:t>1.</w:t>
      </w:r>
      <w:r w:rsidR="00DE14B7" w:rsidRPr="00982B44">
        <w:rPr>
          <w:sz w:val="22"/>
          <w:szCs w:val="22"/>
          <w:lang w:val="en-US"/>
        </w:rPr>
        <w:t>5</w:t>
      </w:r>
    </w:p>
    <w:p w14:paraId="444090E0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982B44">
        <w:rPr>
          <w:sz w:val="22"/>
          <w:szCs w:val="22"/>
          <w:lang w:val="en-US"/>
        </w:rPr>
        <w:t>Source:</w:t>
      </w:r>
      <w:r w:rsidRPr="00982B44">
        <w:rPr>
          <w:sz w:val="22"/>
          <w:szCs w:val="22"/>
          <w:lang w:val="en-US"/>
        </w:rPr>
        <w:tab/>
        <w:t>Ericsson</w:t>
      </w:r>
    </w:p>
    <w:p w14:paraId="7C02BF68" w14:textId="56A90B65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Title:</w:t>
      </w:r>
      <w:r w:rsidRPr="001327AF">
        <w:rPr>
          <w:sz w:val="22"/>
          <w:szCs w:val="22"/>
          <w:lang w:val="en-US"/>
        </w:rPr>
        <w:tab/>
      </w:r>
      <w:r w:rsidR="00CA7B5B">
        <w:rPr>
          <w:sz w:val="22"/>
          <w:szCs w:val="22"/>
          <w:lang w:val="en-US"/>
        </w:rPr>
        <w:t xml:space="preserve">On the </w:t>
      </w:r>
      <w:r w:rsidR="00DE14B7">
        <w:rPr>
          <w:sz w:val="22"/>
          <w:szCs w:val="22"/>
          <w:lang w:val="en-US"/>
        </w:rPr>
        <w:t>usage</w:t>
      </w:r>
      <w:r w:rsidR="00DE14B7" w:rsidRPr="001327AF">
        <w:rPr>
          <w:sz w:val="22"/>
          <w:szCs w:val="22"/>
          <w:lang w:val="en-US"/>
        </w:rPr>
        <w:t xml:space="preserve"> </w:t>
      </w:r>
      <w:r w:rsidR="00DE14B7">
        <w:rPr>
          <w:sz w:val="22"/>
          <w:szCs w:val="22"/>
          <w:lang w:val="en-US"/>
        </w:rPr>
        <w:t>of</w:t>
      </w:r>
      <w:r w:rsidR="00985DB7" w:rsidRPr="001327AF">
        <w:rPr>
          <w:sz w:val="22"/>
          <w:szCs w:val="22"/>
          <w:lang w:val="en-US"/>
        </w:rPr>
        <w:t xml:space="preserve"> </w:t>
      </w:r>
      <w:r w:rsidR="000946CE">
        <w:rPr>
          <w:sz w:val="22"/>
          <w:szCs w:val="22"/>
          <w:lang w:val="en-US"/>
        </w:rPr>
        <w:t xml:space="preserve">NR DC </w:t>
      </w:r>
      <w:r w:rsidR="00DE14B7">
        <w:rPr>
          <w:sz w:val="22"/>
          <w:szCs w:val="22"/>
          <w:lang w:val="en-US"/>
        </w:rPr>
        <w:t>for</w:t>
      </w:r>
      <w:r w:rsidR="000946CE">
        <w:rPr>
          <w:sz w:val="22"/>
          <w:szCs w:val="22"/>
          <w:lang w:val="en-US"/>
        </w:rPr>
        <w:t xml:space="preserve"> IAB nodes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3CCC59B0" w14:textId="0FB0190E" w:rsidR="000946CE" w:rsidRDefault="000946CE" w:rsidP="00633FE7">
      <w:pPr>
        <w:rPr>
          <w:lang w:val="en-US"/>
        </w:rPr>
      </w:pPr>
      <w:r>
        <w:rPr>
          <w:lang w:val="en-US"/>
        </w:rPr>
        <w:t xml:space="preserve">At the last meeting there were </w:t>
      </w:r>
      <w:r w:rsidR="005078BA">
        <w:rPr>
          <w:lang w:val="en-US"/>
        </w:rPr>
        <w:t xml:space="preserve">contributions </w:t>
      </w:r>
      <w:r w:rsidR="009D41EA">
        <w:rPr>
          <w:lang w:val="en-US"/>
        </w:rPr>
        <w:t xml:space="preserve">[1-3] </w:t>
      </w:r>
      <w:r w:rsidR="005078BA">
        <w:rPr>
          <w:lang w:val="en-US"/>
        </w:rPr>
        <w:t xml:space="preserve">discussing the possibility to use </w:t>
      </w:r>
      <w:r>
        <w:rPr>
          <w:lang w:val="en-US"/>
        </w:rPr>
        <w:t xml:space="preserve">NR DC </w:t>
      </w:r>
      <w:r w:rsidR="0077781A">
        <w:rPr>
          <w:lang w:val="en-US"/>
        </w:rPr>
        <w:t>for supp</w:t>
      </w:r>
      <w:r>
        <w:rPr>
          <w:lang w:val="en-US"/>
        </w:rPr>
        <w:t>orting multi-path connectivity</w:t>
      </w:r>
      <w:r w:rsidR="0077781A">
        <w:rPr>
          <w:lang w:val="en-US"/>
        </w:rPr>
        <w:t xml:space="preserve"> for IAB</w:t>
      </w:r>
      <w:r w:rsidR="006B05A5">
        <w:rPr>
          <w:lang w:val="en-US"/>
        </w:rPr>
        <w:t>, e.g. to handle topology adaptation</w:t>
      </w:r>
      <w:r>
        <w:rPr>
          <w:lang w:val="en-US"/>
        </w:rPr>
        <w:t>. This paper analyzes</w:t>
      </w:r>
      <w:r w:rsidR="00CA7B5B">
        <w:rPr>
          <w:lang w:val="en-US"/>
        </w:rPr>
        <w:t xml:space="preserve"> this further and make some conclusions.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457E6598" w14:textId="6AA19FCD" w:rsidR="00FA1DB5" w:rsidRDefault="008E090E" w:rsidP="003F7F2D">
      <w:pPr>
        <w:rPr>
          <w:lang w:val="en-US"/>
        </w:rPr>
      </w:pPr>
      <w:r>
        <w:rPr>
          <w:lang w:val="en-US"/>
        </w:rPr>
        <w:t xml:space="preserve">Currently in NR, dual connectivity is supported by setting up </w:t>
      </w:r>
      <w:r w:rsidR="00FA1DB5">
        <w:rPr>
          <w:lang w:val="en-US"/>
        </w:rPr>
        <w:t xml:space="preserve">multiple UE bearer contexts in the DUs that serve the UE. These different UE contexts are identified </w:t>
      </w:r>
      <w:r w:rsidR="00E51EA7">
        <w:rPr>
          <w:lang w:val="en-US"/>
        </w:rPr>
        <w:t xml:space="preserve">in </w:t>
      </w:r>
      <w:r w:rsidR="00FA1DB5">
        <w:rPr>
          <w:lang w:val="en-US"/>
        </w:rPr>
        <w:t>as part of F1-U (GTP tunnels)</w:t>
      </w:r>
      <w:r w:rsidR="00E51EA7">
        <w:rPr>
          <w:lang w:val="en-US"/>
        </w:rPr>
        <w:t xml:space="preserve"> to the DU serving the UE.</w:t>
      </w:r>
      <w:r w:rsidR="002A7AAA">
        <w:rPr>
          <w:lang w:val="en-US"/>
        </w:rPr>
        <w:t xml:space="preserve"> This is shown in Figure 1.</w:t>
      </w:r>
    </w:p>
    <w:p w14:paraId="56C61B11" w14:textId="17A489D3" w:rsidR="00C75C58" w:rsidRDefault="00095B73" w:rsidP="003F7F2D">
      <w:pPr>
        <w:rPr>
          <w:lang w:val="en-US"/>
        </w:rPr>
      </w:pPr>
      <w:r>
        <w:rPr>
          <w:lang w:val="en-US"/>
        </w:rPr>
        <w:t xml:space="preserve">The dual connectivity aspects </w:t>
      </w:r>
      <w:r w:rsidR="00854075">
        <w:rPr>
          <w:lang w:val="en-US"/>
        </w:rPr>
        <w:t>are</w:t>
      </w:r>
      <w:r>
        <w:rPr>
          <w:lang w:val="en-US"/>
        </w:rPr>
        <w:t xml:space="preserve"> transparent to UE application layers. </w:t>
      </w:r>
      <w:r w:rsidR="00A0739A">
        <w:rPr>
          <w:lang w:val="en-US"/>
        </w:rPr>
        <w:t xml:space="preserve">I.e. the UE just send/receive data from a DRB which could be configured as </w:t>
      </w:r>
      <w:proofErr w:type="gramStart"/>
      <w:r w:rsidR="00A0739A">
        <w:rPr>
          <w:lang w:val="en-US"/>
        </w:rPr>
        <w:t>a</w:t>
      </w:r>
      <w:proofErr w:type="gramEnd"/>
      <w:r w:rsidR="00A0739A">
        <w:rPr>
          <w:lang w:val="en-US"/>
        </w:rPr>
        <w:t xml:space="preserve"> MCG, SCG or split DRB. In case of the split DRB the</w:t>
      </w:r>
      <w:r w:rsidR="00C75C58">
        <w:rPr>
          <w:lang w:val="en-US"/>
        </w:rPr>
        <w:t xml:space="preserve"> splitting point is below PDCP and relying on various NR PDCP functions to </w:t>
      </w:r>
      <w:r w:rsidR="00FE51B8">
        <w:rPr>
          <w:lang w:val="en-US"/>
        </w:rPr>
        <w:t xml:space="preserve">handle re-ordering, re-transmission and duplication removal. </w:t>
      </w:r>
    </w:p>
    <w:p w14:paraId="1E481FE6" w14:textId="1E74A4C7" w:rsidR="0036704D" w:rsidRDefault="00B27535" w:rsidP="00B27535">
      <w:pPr>
        <w:jc w:val="center"/>
      </w:pPr>
      <w:r>
        <w:object w:dxaOrig="8353" w:dyaOrig="9301" w14:anchorId="75681F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pt;height:362.25pt" o:ole="">
            <v:imagedata r:id="rId14" o:title=""/>
          </v:shape>
          <o:OLEObject Type="Embed" ProgID="Visio.Drawing.15" ShapeID="_x0000_i1025" DrawAspect="Content" ObjectID="_1615321284" r:id="rId15"/>
        </w:object>
      </w:r>
    </w:p>
    <w:p w14:paraId="7BE225AE" w14:textId="76A8B2B6" w:rsidR="00B27535" w:rsidRDefault="00B27535" w:rsidP="00B27535">
      <w:pPr>
        <w:pStyle w:val="Caption"/>
        <w:rPr>
          <w:lang w:val="en-US"/>
        </w:rPr>
      </w:pPr>
      <w:r>
        <w:rPr>
          <w:lang w:val="en-US"/>
        </w:rPr>
        <w:t xml:space="preserve">Figure 1 </w:t>
      </w:r>
      <w:r w:rsidR="002A46D5">
        <w:rPr>
          <w:lang w:val="en-US"/>
        </w:rPr>
        <w:t>Support for NR DC to UEs</w:t>
      </w:r>
    </w:p>
    <w:p w14:paraId="5948CBC0" w14:textId="20F0AD60" w:rsidR="00FE51B8" w:rsidRDefault="00854075" w:rsidP="003F7F2D">
      <w:pPr>
        <w:rPr>
          <w:lang w:val="en-US"/>
        </w:rPr>
      </w:pPr>
      <w:r>
        <w:rPr>
          <w:lang w:val="en-US"/>
        </w:rPr>
        <w:t xml:space="preserve">Unfortunately, it is not possible to </w:t>
      </w:r>
      <w:r w:rsidRPr="00982B44">
        <w:rPr>
          <w:u w:val="single"/>
          <w:lang w:val="en-US"/>
        </w:rPr>
        <w:t>directly apply NR DC</w:t>
      </w:r>
      <w:r>
        <w:rPr>
          <w:lang w:val="en-US"/>
        </w:rPr>
        <w:t xml:space="preserve"> for IAB nodes for the following reasons:</w:t>
      </w:r>
    </w:p>
    <w:p w14:paraId="553F849E" w14:textId="0525D5EC" w:rsidR="00854075" w:rsidRDefault="00D348A7" w:rsidP="00854075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Current assumption is that </w:t>
      </w:r>
      <w:r w:rsidR="00F120BF">
        <w:rPr>
          <w:lang w:val="en-US"/>
        </w:rPr>
        <w:t xml:space="preserve">IAB nodes do not terminate PDCP </w:t>
      </w:r>
      <w:r w:rsidR="007F7745">
        <w:rPr>
          <w:lang w:val="en-US"/>
        </w:rPr>
        <w:t>for F1-U traffic</w:t>
      </w:r>
    </w:p>
    <w:p w14:paraId="7BD6ADBD" w14:textId="3E9DD752" w:rsidR="0008070B" w:rsidRDefault="0008070B" w:rsidP="00854075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Similarly,</w:t>
      </w:r>
      <w:r w:rsidR="002D40FE">
        <w:rPr>
          <w:lang w:val="en-US"/>
        </w:rPr>
        <w:t xml:space="preserve"> the parent nodes to the IAB do not terminate F1-U for other IAB nodes</w:t>
      </w:r>
      <w:r>
        <w:rPr>
          <w:lang w:val="en-US"/>
        </w:rPr>
        <w:t xml:space="preserve"> (the forwarding is instead </w:t>
      </w:r>
      <w:r w:rsidR="00F350C7">
        <w:rPr>
          <w:lang w:val="en-US"/>
        </w:rPr>
        <w:t>handled</w:t>
      </w:r>
      <w:r>
        <w:rPr>
          <w:lang w:val="en-US"/>
        </w:rPr>
        <w:t xml:space="preserve"> by adaptation layer)</w:t>
      </w:r>
    </w:p>
    <w:p w14:paraId="091EDA93" w14:textId="21F74DA2" w:rsidR="004A1004" w:rsidRDefault="004A1004" w:rsidP="00854075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The agreed architecture based on full F1-U support to the IAB node does not assume that there is any CU-UP function </w:t>
      </w:r>
      <w:r w:rsidR="00BE7ECF">
        <w:rPr>
          <w:lang w:val="en-US"/>
        </w:rPr>
        <w:t>for traffic going to the IAB node (instead the DU handles IP routing)</w:t>
      </w:r>
    </w:p>
    <w:p w14:paraId="2769F474" w14:textId="08724729" w:rsidR="00D44F30" w:rsidRDefault="00D44F30" w:rsidP="00854075">
      <w:pPr>
        <w:pStyle w:val="ListParagraph"/>
        <w:numPr>
          <w:ilvl w:val="0"/>
          <w:numId w:val="29"/>
        </w:numPr>
        <w:rPr>
          <w:lang w:val="en-US"/>
        </w:rPr>
      </w:pPr>
      <w:proofErr w:type="gramStart"/>
      <w:r>
        <w:rPr>
          <w:lang w:val="en-US"/>
        </w:rPr>
        <w:t>Similar</w:t>
      </w:r>
      <w:proofErr w:type="gramEnd"/>
      <w:r>
        <w:rPr>
          <w:lang w:val="en-US"/>
        </w:rPr>
        <w:t xml:space="preserve"> </w:t>
      </w:r>
      <w:r w:rsidR="00C05DFF">
        <w:rPr>
          <w:lang w:val="en-US"/>
        </w:rPr>
        <w:t>t</w:t>
      </w:r>
      <w:r>
        <w:rPr>
          <w:lang w:val="en-US"/>
        </w:rPr>
        <w:t>he IP address for NR DC terminates in the UPF</w:t>
      </w:r>
      <w:r w:rsidR="00C05DFF">
        <w:rPr>
          <w:lang w:val="en-US"/>
        </w:rPr>
        <w:t xml:space="preserve"> which is not inline with the agreed architecture.</w:t>
      </w:r>
    </w:p>
    <w:p w14:paraId="7587F18A" w14:textId="2E270BB7" w:rsidR="00BE7ECF" w:rsidRDefault="005D24DF" w:rsidP="005D24DF">
      <w:pPr>
        <w:pStyle w:val="Observation"/>
        <w:rPr>
          <w:lang w:val="en-US"/>
        </w:rPr>
      </w:pPr>
      <w:r>
        <w:rPr>
          <w:lang w:val="en-US"/>
        </w:rPr>
        <w:t xml:space="preserve">It is not possible to directly apply the NR DC solution </w:t>
      </w:r>
      <w:r w:rsidR="00281320">
        <w:rPr>
          <w:lang w:val="en-US"/>
        </w:rPr>
        <w:t>to support multi-path connectivity to</w:t>
      </w:r>
      <w:r>
        <w:rPr>
          <w:lang w:val="en-US"/>
        </w:rPr>
        <w:t xml:space="preserve"> IAB nodes</w:t>
      </w:r>
      <w:r w:rsidR="00E76C55">
        <w:rPr>
          <w:lang w:val="en-US"/>
        </w:rPr>
        <w:t xml:space="preserve"> for F1-U traffic </w:t>
      </w:r>
      <w:r>
        <w:rPr>
          <w:lang w:val="en-US"/>
        </w:rPr>
        <w:t>for several reasons, incl</w:t>
      </w:r>
      <w:r w:rsidR="00D84356">
        <w:rPr>
          <w:lang w:val="en-US"/>
        </w:rPr>
        <w:t>.</w:t>
      </w:r>
      <w:r>
        <w:rPr>
          <w:lang w:val="en-US"/>
        </w:rPr>
        <w:t xml:space="preserve"> lack of PDCP, CU-UP</w:t>
      </w:r>
      <w:r w:rsidR="00D84356">
        <w:rPr>
          <w:lang w:val="en-US"/>
        </w:rPr>
        <w:t xml:space="preserve"> function for IAB nodes</w:t>
      </w:r>
    </w:p>
    <w:p w14:paraId="29F3A2F3" w14:textId="29906D72" w:rsidR="009D2E39" w:rsidRDefault="009D2E39" w:rsidP="00134208">
      <w:pPr>
        <w:rPr>
          <w:lang w:val="en-US"/>
        </w:rPr>
      </w:pPr>
      <w:r>
        <w:rPr>
          <w:lang w:val="en-US"/>
        </w:rPr>
        <w:t xml:space="preserve">Although as discussed above it is not possible to re-use the NR DC solution as is for IAB nodes, it could still be possible to reuse some aspects of NR DC. As an </w:t>
      </w:r>
      <w:r w:rsidR="001A5E64">
        <w:rPr>
          <w:lang w:val="en-US"/>
        </w:rPr>
        <w:t>example,</w:t>
      </w:r>
      <w:r>
        <w:rPr>
          <w:lang w:val="en-US"/>
        </w:rPr>
        <w:t xml:space="preserve"> the RRC control plane for NR DC could be re-used, including the following functionalities:</w:t>
      </w:r>
    </w:p>
    <w:p w14:paraId="3B9C6F12" w14:textId="0F763E4D" w:rsidR="009D2E39" w:rsidRDefault="009D2E39" w:rsidP="009D2E39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NR RRC could be used to configure the second radio leg according to NR DC principles</w:t>
      </w:r>
    </w:p>
    <w:p w14:paraId="4640B80F" w14:textId="0FBF56C9" w:rsidR="009D2E39" w:rsidRDefault="001A5E64" w:rsidP="009D2E39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At least the MCG and SCG configuration could be re-used</w:t>
      </w:r>
    </w:p>
    <w:p w14:paraId="3A7119DD" w14:textId="00B8E3E9" w:rsidR="001A5E64" w:rsidRPr="00A551AE" w:rsidRDefault="00A551AE" w:rsidP="00A551AE">
      <w:pPr>
        <w:pStyle w:val="Observation"/>
        <w:rPr>
          <w:lang w:val="en-US"/>
        </w:rPr>
      </w:pPr>
      <w:r w:rsidRPr="00A551AE">
        <w:rPr>
          <w:lang w:val="en-US"/>
        </w:rPr>
        <w:t>Parts of the control plane solutions used to setup NR DC can</w:t>
      </w:r>
      <w:r w:rsidR="00F87CF8">
        <w:rPr>
          <w:lang w:val="en-US"/>
        </w:rPr>
        <w:t>,</w:t>
      </w:r>
      <w:r w:rsidRPr="00A551AE">
        <w:rPr>
          <w:lang w:val="en-US"/>
        </w:rPr>
        <w:t xml:space="preserve"> if desired</w:t>
      </w:r>
      <w:r w:rsidR="00F87CF8">
        <w:rPr>
          <w:lang w:val="en-US"/>
        </w:rPr>
        <w:t>,</w:t>
      </w:r>
      <w:r w:rsidRPr="00A551AE">
        <w:rPr>
          <w:lang w:val="en-US"/>
        </w:rPr>
        <w:t xml:space="preserve"> be re-used for NR DC to IAB nodes, incl. MCG/SCG configurations.</w:t>
      </w:r>
    </w:p>
    <w:p w14:paraId="0A58F2EE" w14:textId="74C44582" w:rsidR="00A551AE" w:rsidRDefault="00B76BDF" w:rsidP="001A5E64">
      <w:pPr>
        <w:rPr>
          <w:lang w:val="en-US"/>
        </w:rPr>
      </w:pPr>
      <w:r>
        <w:rPr>
          <w:lang w:val="en-US"/>
        </w:rPr>
        <w:t>For the user plane</w:t>
      </w:r>
      <w:r w:rsidR="0043679C">
        <w:rPr>
          <w:lang w:val="en-US"/>
        </w:rPr>
        <w:t>,</w:t>
      </w:r>
      <w:r>
        <w:rPr>
          <w:lang w:val="en-US"/>
        </w:rPr>
        <w:t xml:space="preserve"> it would be possible to adopt a </w:t>
      </w:r>
      <w:r w:rsidR="003F5FAD">
        <w:rPr>
          <w:lang w:val="en-US"/>
        </w:rPr>
        <w:t>simplifie</w:t>
      </w:r>
      <w:r w:rsidR="00D734DB">
        <w:rPr>
          <w:lang w:val="en-US"/>
        </w:rPr>
        <w:t>d</w:t>
      </w:r>
      <w:r>
        <w:rPr>
          <w:lang w:val="en-US"/>
        </w:rPr>
        <w:t xml:space="preserve"> version of NR DC to enable </w:t>
      </w:r>
      <w:r w:rsidR="00E676C3">
        <w:rPr>
          <w:lang w:val="en-US"/>
        </w:rPr>
        <w:t xml:space="preserve">support for multi-path which is still inline with existing architecture assumptions and avoids additional </w:t>
      </w:r>
      <w:r w:rsidR="003F5FAD">
        <w:rPr>
          <w:lang w:val="en-US"/>
        </w:rPr>
        <w:t>complexities such as tunneling in tunneling</w:t>
      </w:r>
      <w:r w:rsidR="00E45070">
        <w:rPr>
          <w:lang w:val="en-US"/>
        </w:rPr>
        <w:t>, assuming the following:</w:t>
      </w:r>
    </w:p>
    <w:p w14:paraId="14A2C8EF" w14:textId="77777777" w:rsidR="009B67E5" w:rsidRDefault="00E45070" w:rsidP="00E45070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No split bearers are supported</w:t>
      </w:r>
    </w:p>
    <w:p w14:paraId="00EAA6B0" w14:textId="74E5D9B7" w:rsidR="00E45070" w:rsidRDefault="009B67E5" w:rsidP="009B67E5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/>
        </w:rPr>
        <w:t>A</w:t>
      </w:r>
      <w:r w:rsidR="0090617F">
        <w:rPr>
          <w:lang w:val="en-US"/>
        </w:rPr>
        <w:t>voiding introduction of CU-UP functionality</w:t>
      </w:r>
      <w:r>
        <w:rPr>
          <w:lang w:val="en-US"/>
        </w:rPr>
        <w:t xml:space="preserve"> and</w:t>
      </w:r>
      <w:r w:rsidR="009A3279">
        <w:rPr>
          <w:lang w:val="en-US"/>
        </w:rPr>
        <w:t xml:space="preserve"> re-ordering functionality etc.</w:t>
      </w:r>
      <w:r w:rsidR="00AB11B0">
        <w:rPr>
          <w:lang w:val="en-US"/>
        </w:rPr>
        <w:t xml:space="preserve"> </w:t>
      </w:r>
    </w:p>
    <w:p w14:paraId="30DE46DB" w14:textId="77777777" w:rsidR="000F1C7C" w:rsidRDefault="000F1C7C" w:rsidP="000F1C7C">
      <w:pPr>
        <w:pStyle w:val="ListParagraph"/>
        <w:rPr>
          <w:lang w:val="en-US"/>
        </w:rPr>
      </w:pPr>
    </w:p>
    <w:p w14:paraId="27AEB090" w14:textId="12432E62" w:rsidR="00AB11B0" w:rsidRDefault="0090617F" w:rsidP="0090617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Each path </w:t>
      </w:r>
      <w:r w:rsidR="00AB11B0">
        <w:rPr>
          <w:lang w:val="en-US"/>
        </w:rPr>
        <w:t>should</w:t>
      </w:r>
      <w:r>
        <w:rPr>
          <w:lang w:val="en-US"/>
        </w:rPr>
        <w:t xml:space="preserve"> be associated with a separate Adaptation Layer routing identifier</w:t>
      </w:r>
    </w:p>
    <w:p w14:paraId="54028304" w14:textId="6AE0306E" w:rsidR="0090617F" w:rsidRDefault="00AB11B0" w:rsidP="00AB11B0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/>
        </w:rPr>
        <w:lastRenderedPageBreak/>
        <w:t>A</w:t>
      </w:r>
      <w:r w:rsidR="009B67E5">
        <w:rPr>
          <w:lang w:val="en-US"/>
        </w:rPr>
        <w:t xml:space="preserve">voiding GTP tunnels to the parent nodes </w:t>
      </w:r>
      <w:r>
        <w:rPr>
          <w:lang w:val="en-US"/>
        </w:rPr>
        <w:t>(</w:t>
      </w:r>
      <w:r w:rsidR="009B67E5">
        <w:rPr>
          <w:lang w:val="en-US"/>
        </w:rPr>
        <w:t>carrying GTP tunnels to IAB node</w:t>
      </w:r>
      <w:r>
        <w:rPr>
          <w:lang w:val="en-US"/>
        </w:rPr>
        <w:t>)</w:t>
      </w:r>
      <w:r w:rsidR="009B67E5">
        <w:rPr>
          <w:lang w:val="en-US"/>
        </w:rPr>
        <w:t xml:space="preserve">. </w:t>
      </w:r>
    </w:p>
    <w:p w14:paraId="35AED6E2" w14:textId="77777777" w:rsidR="000F1C7C" w:rsidRPr="0090617F" w:rsidRDefault="000F1C7C" w:rsidP="000F1C7C">
      <w:pPr>
        <w:pStyle w:val="ListParagraph"/>
        <w:ind w:left="1440"/>
        <w:rPr>
          <w:lang w:val="en-US"/>
        </w:rPr>
      </w:pPr>
    </w:p>
    <w:p w14:paraId="525E00AC" w14:textId="08B72604" w:rsidR="003F5FAD" w:rsidRDefault="005259ED" w:rsidP="001B0FCB">
      <w:pPr>
        <w:pStyle w:val="ListParagraph"/>
        <w:numPr>
          <w:ilvl w:val="0"/>
          <w:numId w:val="29"/>
        </w:numPr>
        <w:rPr>
          <w:lang w:val="en-US"/>
        </w:rPr>
      </w:pPr>
      <w:r w:rsidRPr="005259ED">
        <w:rPr>
          <w:lang w:val="en-US"/>
        </w:rPr>
        <w:t xml:space="preserve">Each path </w:t>
      </w:r>
      <w:r w:rsidR="00AB11B0">
        <w:rPr>
          <w:lang w:val="en-US"/>
        </w:rPr>
        <w:t>should be</w:t>
      </w:r>
      <w:r w:rsidRPr="005259ED">
        <w:rPr>
          <w:lang w:val="en-US"/>
        </w:rPr>
        <w:t xml:space="preserve"> associated with its own IP address making the paths visible on the F1 application layer. </w:t>
      </w:r>
    </w:p>
    <w:p w14:paraId="753A1CB9" w14:textId="2FCEC6D5" w:rsidR="00707332" w:rsidRDefault="00707332" w:rsidP="00707332">
      <w:pPr>
        <w:pStyle w:val="ListParagraph"/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Making it possible </w:t>
      </w:r>
      <w:r w:rsidR="00AE38BA">
        <w:rPr>
          <w:lang w:val="en-US"/>
        </w:rPr>
        <w:t xml:space="preserve">to </w:t>
      </w:r>
      <w:r>
        <w:rPr>
          <w:lang w:val="en-US"/>
        </w:rPr>
        <w:t>setup paths through different Donor DUs</w:t>
      </w:r>
    </w:p>
    <w:p w14:paraId="7C44E7D7" w14:textId="77777777" w:rsidR="00DE239A" w:rsidRDefault="00DE239A" w:rsidP="00DE239A">
      <w:pPr>
        <w:rPr>
          <w:lang w:val="en-US"/>
        </w:rPr>
      </w:pPr>
      <w:r>
        <w:rPr>
          <w:lang w:val="en-US"/>
        </w:rPr>
        <w:t>With the assumptions above it would be possible to support redundancy and rudimentary load balancing mechanism on the F1 application layer using things like:</w:t>
      </w:r>
    </w:p>
    <w:p w14:paraId="7A7F2CBF" w14:textId="77777777" w:rsidR="00DE239A" w:rsidRDefault="00DE239A" w:rsidP="00DE239A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Multipath SCTP</w:t>
      </w:r>
    </w:p>
    <w:p w14:paraId="7BE48F26" w14:textId="77777777" w:rsidR="00DE239A" w:rsidRPr="00262AA4" w:rsidRDefault="00DE239A" w:rsidP="00DE239A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Smart load balancing of UE GTP tunnels to different paths</w:t>
      </w:r>
    </w:p>
    <w:p w14:paraId="2AAE9672" w14:textId="00813B9F" w:rsidR="00DE239A" w:rsidRPr="00DE239A" w:rsidRDefault="00373B5D" w:rsidP="00DE239A">
      <w:pPr>
        <w:rPr>
          <w:lang w:val="en-US"/>
        </w:rPr>
      </w:pPr>
      <w:r>
        <w:rPr>
          <w:lang w:val="en-US"/>
        </w:rPr>
        <w:t xml:space="preserve">It is possible to study more advanced load balancing mechanisms for IAB node in later releases. </w:t>
      </w:r>
    </w:p>
    <w:p w14:paraId="4C5F6EA4" w14:textId="4C7DCA93" w:rsidR="00A53A1E" w:rsidRDefault="0056082E" w:rsidP="00A53A1E">
      <w:pPr>
        <w:pStyle w:val="Observation"/>
        <w:rPr>
          <w:lang w:val="en-US"/>
        </w:rPr>
      </w:pPr>
      <w:r>
        <w:rPr>
          <w:lang w:val="en-US"/>
        </w:rPr>
        <w:t xml:space="preserve">For the </w:t>
      </w:r>
      <w:r w:rsidR="00A53A1E">
        <w:rPr>
          <w:lang w:val="en-US"/>
        </w:rPr>
        <w:t>user plane it is possible to su</w:t>
      </w:r>
      <w:r w:rsidR="00F91ED8">
        <w:rPr>
          <w:lang w:val="en-US"/>
        </w:rPr>
        <w:t xml:space="preserve">pport a simplified version of NR DC for IAB nodes </w:t>
      </w:r>
      <w:r>
        <w:rPr>
          <w:lang w:val="en-US"/>
        </w:rPr>
        <w:t xml:space="preserve">where </w:t>
      </w:r>
      <w:r w:rsidR="00471E52">
        <w:rPr>
          <w:lang w:val="en-US"/>
        </w:rPr>
        <w:t xml:space="preserve">each path is seen as a separate IP connection which can be used </w:t>
      </w:r>
      <w:r w:rsidR="00A53A1E">
        <w:rPr>
          <w:lang w:val="en-US"/>
        </w:rPr>
        <w:t>by the application layer (F1-C/F1-U)</w:t>
      </w:r>
      <w:r w:rsidR="00471E52">
        <w:rPr>
          <w:lang w:val="en-US"/>
        </w:rPr>
        <w:t xml:space="preserve"> for </w:t>
      </w:r>
      <w:r w:rsidR="00DE239A">
        <w:rPr>
          <w:lang w:val="en-US"/>
        </w:rPr>
        <w:t>redundancy and</w:t>
      </w:r>
      <w:r w:rsidR="00DE239A" w:rsidRPr="00DE239A">
        <w:rPr>
          <w:lang w:val="en-US"/>
        </w:rPr>
        <w:t xml:space="preserve"> </w:t>
      </w:r>
      <w:r w:rsidR="00DE239A">
        <w:rPr>
          <w:lang w:val="en-US"/>
        </w:rPr>
        <w:t>rudimentary load balancing</w:t>
      </w:r>
      <w:r w:rsidR="00756948">
        <w:rPr>
          <w:lang w:val="en-US"/>
        </w:rPr>
        <w:t>. This is discussed in 38.874 section 9.7.9).</w:t>
      </w:r>
    </w:p>
    <w:p w14:paraId="1F8635D4" w14:textId="3164E10D" w:rsidR="008A5576" w:rsidRDefault="00373B5D" w:rsidP="008A5576">
      <w:pPr>
        <w:pStyle w:val="Observation"/>
        <w:rPr>
          <w:lang w:val="en-US"/>
        </w:rPr>
      </w:pPr>
      <w:r>
        <w:rPr>
          <w:lang w:val="en-US"/>
        </w:rPr>
        <w:t xml:space="preserve">More advanced load balancing </w:t>
      </w:r>
      <w:r w:rsidR="008A5576">
        <w:rPr>
          <w:lang w:val="en-US"/>
        </w:rPr>
        <w:t xml:space="preserve">mechanism can be considered in later releases. </w:t>
      </w:r>
    </w:p>
    <w:p w14:paraId="061A7F86" w14:textId="3BA6A7E7" w:rsidR="00045F4A" w:rsidRDefault="0075580F" w:rsidP="00507DA5">
      <w:pPr>
        <w:pStyle w:val="Heading1"/>
        <w:rPr>
          <w:lang w:val="en-US"/>
        </w:rPr>
      </w:pPr>
      <w:r>
        <w:rPr>
          <w:lang w:val="en-US"/>
        </w:rPr>
        <w:t>Possible p</w:t>
      </w:r>
      <w:r w:rsidR="00045F4A">
        <w:rPr>
          <w:lang w:val="en-US"/>
        </w:rPr>
        <w:t xml:space="preserve">rocedure </w:t>
      </w:r>
      <w:r w:rsidR="00507DA5">
        <w:rPr>
          <w:lang w:val="en-US"/>
        </w:rPr>
        <w:t>for support multi-path connectivity for IAB nodes</w:t>
      </w:r>
      <w:r w:rsidR="00B07C60">
        <w:rPr>
          <w:lang w:val="en-US"/>
        </w:rPr>
        <w:t xml:space="preserve"> </w:t>
      </w:r>
      <w:r w:rsidR="00B560E8">
        <w:rPr>
          <w:lang w:val="en-US"/>
        </w:rPr>
        <w:t>reusing CP part of NR DC</w:t>
      </w:r>
    </w:p>
    <w:p w14:paraId="1BA09FB4" w14:textId="171FF429" w:rsidR="00816513" w:rsidRDefault="0075580F" w:rsidP="0075580F">
      <w:pPr>
        <w:rPr>
          <w:lang w:val="en-US"/>
        </w:rPr>
      </w:pPr>
      <w:r>
        <w:rPr>
          <w:lang w:val="en-US"/>
        </w:rPr>
        <w:t xml:space="preserve">Figure </w:t>
      </w:r>
      <w:r w:rsidR="002A46D5">
        <w:rPr>
          <w:lang w:val="en-US"/>
        </w:rPr>
        <w:t>2</w:t>
      </w:r>
      <w:r>
        <w:rPr>
          <w:lang w:val="en-US"/>
        </w:rPr>
        <w:t xml:space="preserve"> shows the starting scenario. The IAB node 1 is connected via IAB node 2 and Donor DU 1 towards the TNL. </w:t>
      </w:r>
      <w:r w:rsidR="00FA39BC">
        <w:rPr>
          <w:lang w:val="en-US"/>
        </w:rPr>
        <w:t xml:space="preserve">The Donor DU 1 </w:t>
      </w:r>
      <w:r w:rsidR="00816513">
        <w:rPr>
          <w:lang w:val="en-US"/>
        </w:rPr>
        <w:t>route</w:t>
      </w:r>
      <w:r w:rsidR="00FA39BC">
        <w:rPr>
          <w:lang w:val="en-US"/>
        </w:rPr>
        <w:t xml:space="preserve"> any packet</w:t>
      </w:r>
      <w:r w:rsidR="0048464A">
        <w:rPr>
          <w:lang w:val="en-US"/>
        </w:rPr>
        <w:t xml:space="preserve">s </w:t>
      </w:r>
      <w:r w:rsidR="00FA39BC">
        <w:rPr>
          <w:lang w:val="en-US"/>
        </w:rPr>
        <w:t xml:space="preserve">destined </w:t>
      </w:r>
      <w:r w:rsidR="0048464A">
        <w:rPr>
          <w:lang w:val="en-US"/>
        </w:rPr>
        <w:t xml:space="preserve">to the IP address 1 of the </w:t>
      </w:r>
      <w:r w:rsidR="00FA39BC">
        <w:rPr>
          <w:lang w:val="en-US"/>
        </w:rPr>
        <w:t xml:space="preserve">IAB node 1 </w:t>
      </w:r>
      <w:r w:rsidR="00816513">
        <w:rPr>
          <w:lang w:val="en-US"/>
        </w:rPr>
        <w:t xml:space="preserve">over the wireless backhaul to IAB node 2. </w:t>
      </w:r>
    </w:p>
    <w:p w14:paraId="79B3CD99" w14:textId="4119A962" w:rsidR="008A5576" w:rsidRDefault="008A5576" w:rsidP="00707332">
      <w:pPr>
        <w:rPr>
          <w:lang w:val="en-US"/>
        </w:rPr>
      </w:pPr>
    </w:p>
    <w:p w14:paraId="49A2C25E" w14:textId="6936A5E5" w:rsidR="001A23E8" w:rsidRDefault="00B91C85" w:rsidP="00707332">
      <w:pPr>
        <w:rPr>
          <w:lang w:val="en-US"/>
        </w:rPr>
      </w:pPr>
      <w:r w:rsidRPr="001327AF">
        <w:rPr>
          <w:lang w:val="en-US"/>
        </w:rPr>
        <w:object w:dxaOrig="9048" w:dyaOrig="3348" w14:anchorId="7CCD9815">
          <v:shape id="_x0000_i1026" type="#_x0000_t75" style="width:406.5pt;height:150pt" o:ole="">
            <v:imagedata r:id="rId16" o:title=""/>
          </v:shape>
          <o:OLEObject Type="Embed" ProgID="Visio.Drawing.15" ShapeID="_x0000_i1026" DrawAspect="Content" ObjectID="_1615321285" r:id="rId17"/>
        </w:object>
      </w:r>
    </w:p>
    <w:p w14:paraId="08BDD060" w14:textId="7704EB38" w:rsidR="005F7146" w:rsidRDefault="005F7146" w:rsidP="005F7146">
      <w:pPr>
        <w:pStyle w:val="Caption"/>
        <w:rPr>
          <w:lang w:val="en-US"/>
        </w:rPr>
      </w:pPr>
      <w:r>
        <w:rPr>
          <w:lang w:val="en-US"/>
        </w:rPr>
        <w:t xml:space="preserve">Figure </w:t>
      </w:r>
      <w:r w:rsidR="002A46D5">
        <w:rPr>
          <w:lang w:val="en-US"/>
        </w:rPr>
        <w:t>2</w:t>
      </w:r>
      <w:r w:rsidR="00CD2FC0">
        <w:rPr>
          <w:lang w:val="en-US"/>
        </w:rPr>
        <w:t xml:space="preserve"> Prior to setting up dual connectivity.</w:t>
      </w:r>
    </w:p>
    <w:p w14:paraId="29325AD6" w14:textId="7155A1B1" w:rsidR="001A23E8" w:rsidRDefault="00816513" w:rsidP="00371647">
      <w:pPr>
        <w:rPr>
          <w:lang w:val="en-US"/>
        </w:rPr>
      </w:pPr>
      <w:r>
        <w:rPr>
          <w:lang w:val="en-US"/>
        </w:rPr>
        <w:t xml:space="preserve">The Donor CU determines e.g. based on IAB node 1 RRC level measurements, IAB node capabilities, … that the IAB node 1 should establish dual </w:t>
      </w:r>
      <w:r w:rsidR="005F7146">
        <w:rPr>
          <w:lang w:val="en-US"/>
        </w:rPr>
        <w:t>connectivity to IAB node 3. Existing NR DC RRC procedure is used to establish an SCG connection to the IAB node 3. The Donor CU will also configure 1 or more Backhaul RLC channels between the IAB node 1 and IAB node 3</w:t>
      </w:r>
      <w:r w:rsidR="00005874">
        <w:rPr>
          <w:lang w:val="en-US"/>
        </w:rPr>
        <w:t xml:space="preserve"> as well as a new Adaptation Layer route for the new paths</w:t>
      </w:r>
      <w:r w:rsidR="005F7146">
        <w:rPr>
          <w:lang w:val="en-US"/>
        </w:rPr>
        <w:t>.</w:t>
      </w:r>
      <w:r w:rsidR="00005874">
        <w:rPr>
          <w:lang w:val="en-US"/>
        </w:rPr>
        <w:t xml:space="preserve"> Once the new path is setup on the </w:t>
      </w:r>
      <w:r w:rsidR="00EA3213">
        <w:rPr>
          <w:lang w:val="en-US"/>
        </w:rPr>
        <w:t>adaptation</w:t>
      </w:r>
      <w:r w:rsidR="00005874">
        <w:rPr>
          <w:lang w:val="en-US"/>
        </w:rPr>
        <w:t xml:space="preserve"> layer the IAB node 1 can be allocated a new IP address 2 for the new path</w:t>
      </w:r>
      <w:r w:rsidR="004C2C9B">
        <w:rPr>
          <w:lang w:val="en-US"/>
        </w:rPr>
        <w:t xml:space="preserve"> e.g. using mechanism discussed in [4]</w:t>
      </w:r>
      <w:r w:rsidR="00005874">
        <w:rPr>
          <w:lang w:val="en-US"/>
        </w:rPr>
        <w:t>.</w:t>
      </w:r>
      <w:r w:rsidR="005F7146">
        <w:rPr>
          <w:lang w:val="en-US"/>
        </w:rPr>
        <w:t xml:space="preserve"> </w:t>
      </w:r>
      <w:proofErr w:type="gramStart"/>
      <w:r w:rsidR="00005874">
        <w:rPr>
          <w:lang w:val="en-US"/>
        </w:rPr>
        <w:t>The end result</w:t>
      </w:r>
      <w:proofErr w:type="gramEnd"/>
      <w:r w:rsidR="00005874">
        <w:rPr>
          <w:lang w:val="en-US"/>
        </w:rPr>
        <w:t xml:space="preserve"> shown in </w:t>
      </w:r>
      <w:r w:rsidR="004C1391">
        <w:rPr>
          <w:lang w:val="en-US"/>
        </w:rPr>
        <w:t>F</w:t>
      </w:r>
      <w:r w:rsidR="00005874">
        <w:rPr>
          <w:lang w:val="en-US"/>
        </w:rPr>
        <w:t xml:space="preserve">igure </w:t>
      </w:r>
      <w:r w:rsidR="00050CFE">
        <w:rPr>
          <w:lang w:val="en-US"/>
        </w:rPr>
        <w:t>3</w:t>
      </w:r>
      <w:r w:rsidR="00005874">
        <w:rPr>
          <w:lang w:val="en-US"/>
        </w:rPr>
        <w:t xml:space="preserve"> is that the IAB node 1 is connected via 2 paths</w:t>
      </w:r>
      <w:r w:rsidR="00EA3213">
        <w:rPr>
          <w:lang w:val="en-US"/>
        </w:rPr>
        <w:t xml:space="preserve">, where each path has a separate IP address and can be used for F1-C/U application layer redundancy. </w:t>
      </w:r>
    </w:p>
    <w:p w14:paraId="1008FAE5" w14:textId="7B3254D2" w:rsidR="00CD2FC0" w:rsidRDefault="00B468B4" w:rsidP="00CD2FC0">
      <w:pPr>
        <w:rPr>
          <w:lang w:val="en-US"/>
        </w:rPr>
      </w:pPr>
      <w:r w:rsidRPr="001327AF">
        <w:rPr>
          <w:lang w:val="en-US"/>
        </w:rPr>
        <w:object w:dxaOrig="9048" w:dyaOrig="3348" w14:anchorId="019D711C">
          <v:shape id="_x0000_i1027" type="#_x0000_t75" style="width:406.5pt;height:150pt" o:ole="">
            <v:imagedata r:id="rId18" o:title=""/>
          </v:shape>
          <o:OLEObject Type="Embed" ProgID="Visio.Drawing.15" ShapeID="_x0000_i1027" DrawAspect="Content" ObjectID="_1615321286" r:id="rId19"/>
        </w:object>
      </w:r>
    </w:p>
    <w:p w14:paraId="438DCDC1" w14:textId="0845C1BF" w:rsidR="00CD2FC0" w:rsidRDefault="00CD2FC0" w:rsidP="00CD2FC0">
      <w:pPr>
        <w:pStyle w:val="Caption"/>
        <w:rPr>
          <w:lang w:val="en-US"/>
        </w:rPr>
      </w:pPr>
      <w:r>
        <w:rPr>
          <w:lang w:val="en-US"/>
        </w:rPr>
        <w:t xml:space="preserve">Figure </w:t>
      </w:r>
      <w:r w:rsidR="002A46D5">
        <w:rPr>
          <w:lang w:val="en-US"/>
        </w:rPr>
        <w:t>3</w:t>
      </w:r>
      <w:r>
        <w:rPr>
          <w:lang w:val="en-US"/>
        </w:rPr>
        <w:t xml:space="preserve"> setting up Dual Connectivity</w:t>
      </w:r>
    </w:p>
    <w:p w14:paraId="15F53D0E" w14:textId="7C33ED04" w:rsidR="005F7146" w:rsidRDefault="005F7146" w:rsidP="00707332">
      <w:pPr>
        <w:rPr>
          <w:lang w:val="en-US"/>
        </w:rPr>
      </w:pPr>
    </w:p>
    <w:p w14:paraId="2B58500F" w14:textId="186DD455" w:rsidR="00B07C60" w:rsidRDefault="00B07C60" w:rsidP="00B07C60">
      <w:pPr>
        <w:pStyle w:val="Heading1"/>
        <w:rPr>
          <w:lang w:val="en-US"/>
        </w:rPr>
      </w:pPr>
      <w:r>
        <w:rPr>
          <w:lang w:val="en-US"/>
        </w:rPr>
        <w:t>Possible procedure for support multi-path connectivity for IAB nodes</w:t>
      </w:r>
      <w:r w:rsidR="00B560E8">
        <w:rPr>
          <w:lang w:val="en-US"/>
        </w:rPr>
        <w:t xml:space="preserve"> using dual MT functionality</w:t>
      </w:r>
    </w:p>
    <w:p w14:paraId="6F18B5BA" w14:textId="0B0BF634" w:rsidR="005F7146" w:rsidRDefault="00B560E8" w:rsidP="00707332">
      <w:pPr>
        <w:rPr>
          <w:lang w:val="en-US"/>
        </w:rPr>
      </w:pPr>
      <w:r>
        <w:rPr>
          <w:lang w:val="en-US"/>
        </w:rPr>
        <w:t xml:space="preserve">As an alternative to re-using the CP part of NR DC to setup multi-path connectivity to IAB nodes it is also possible to </w:t>
      </w:r>
      <w:r w:rsidR="00A25C6E">
        <w:rPr>
          <w:lang w:val="en-US"/>
        </w:rPr>
        <w:t>deploy a dual MT functionality in the IAB node. In this case each MT connects separately to the Donor CU. The Donor CU</w:t>
      </w:r>
      <w:r w:rsidR="00B5599C">
        <w:rPr>
          <w:lang w:val="en-US"/>
        </w:rPr>
        <w:t xml:space="preserve"> or IAB node OAM</w:t>
      </w:r>
      <w:r w:rsidR="00A25C6E">
        <w:rPr>
          <w:lang w:val="en-US"/>
        </w:rPr>
        <w:t xml:space="preserve"> could have some functionality to assign these MTs to different paths in the network. </w:t>
      </w:r>
      <w:r w:rsidR="002A76C5">
        <w:rPr>
          <w:lang w:val="en-US"/>
        </w:rPr>
        <w:t xml:space="preserve">The user plane aspects of multi-path connectivity would be </w:t>
      </w:r>
      <w:proofErr w:type="gramStart"/>
      <w:r w:rsidR="00481678">
        <w:rPr>
          <w:lang w:val="en-US"/>
        </w:rPr>
        <w:t>exactly the same</w:t>
      </w:r>
      <w:proofErr w:type="gramEnd"/>
      <w:r w:rsidR="00481678">
        <w:rPr>
          <w:lang w:val="en-US"/>
        </w:rPr>
        <w:t xml:space="preserve"> as in previous section.</w:t>
      </w:r>
    </w:p>
    <w:p w14:paraId="266175E9" w14:textId="6C0D6300" w:rsidR="00B5599C" w:rsidRDefault="00B5599C" w:rsidP="00B5599C">
      <w:pPr>
        <w:rPr>
          <w:lang w:val="en-US"/>
        </w:rPr>
      </w:pPr>
      <w:r>
        <w:rPr>
          <w:lang w:val="en-US"/>
        </w:rPr>
        <w:t xml:space="preserve">Figure </w:t>
      </w:r>
      <w:r w:rsidR="005B54DF">
        <w:rPr>
          <w:lang w:val="en-US"/>
        </w:rPr>
        <w:t>4</w:t>
      </w:r>
      <w:r>
        <w:rPr>
          <w:lang w:val="en-US"/>
        </w:rPr>
        <w:t xml:space="preserve"> shows the starting scenario. The IAB node 1 is connected via IAB node 2 and Donor DU 1 towards the TNL using MT 1. The Donor DU 1 route any packets destined to the IP address 1 of the IAB node 1 over the wireless backhaul to IAB node 2. </w:t>
      </w:r>
    </w:p>
    <w:p w14:paraId="10304205" w14:textId="77777777" w:rsidR="00B5599C" w:rsidRDefault="00B5599C" w:rsidP="00707332">
      <w:pPr>
        <w:rPr>
          <w:lang w:val="en-US"/>
        </w:rPr>
      </w:pPr>
    </w:p>
    <w:p w14:paraId="472AE89E" w14:textId="265D266F" w:rsidR="00481678" w:rsidRDefault="0095472B" w:rsidP="00481678">
      <w:pPr>
        <w:rPr>
          <w:lang w:val="en-US"/>
        </w:rPr>
      </w:pPr>
      <w:r w:rsidRPr="001327AF">
        <w:rPr>
          <w:lang w:val="en-US"/>
        </w:rPr>
        <w:object w:dxaOrig="9049" w:dyaOrig="3348" w14:anchorId="1B2A772E">
          <v:shape id="_x0000_i1028" type="#_x0000_t75" style="width:407.25pt;height:150pt" o:ole="">
            <v:imagedata r:id="rId20" o:title=""/>
          </v:shape>
          <o:OLEObject Type="Embed" ProgID="Visio.Drawing.15" ShapeID="_x0000_i1028" DrawAspect="Content" ObjectID="_1615321287" r:id="rId21"/>
        </w:object>
      </w:r>
    </w:p>
    <w:p w14:paraId="542AC51F" w14:textId="46B9FF9B" w:rsidR="00481678" w:rsidRDefault="00481678" w:rsidP="00481678">
      <w:pPr>
        <w:pStyle w:val="Caption"/>
        <w:rPr>
          <w:lang w:val="en-US"/>
        </w:rPr>
      </w:pPr>
      <w:r>
        <w:rPr>
          <w:lang w:val="en-US"/>
        </w:rPr>
        <w:t xml:space="preserve">Figure </w:t>
      </w:r>
      <w:r w:rsidR="005B54DF">
        <w:rPr>
          <w:lang w:val="en-US"/>
        </w:rPr>
        <w:t>4</w:t>
      </w:r>
      <w:r>
        <w:rPr>
          <w:lang w:val="en-US"/>
        </w:rPr>
        <w:t xml:space="preserve"> Prior to setting up dual connectivity.</w:t>
      </w:r>
    </w:p>
    <w:p w14:paraId="395B8EF2" w14:textId="62CBF88A" w:rsidR="003A09D8" w:rsidRDefault="003A09D8" w:rsidP="003A09D8">
      <w:pPr>
        <w:rPr>
          <w:lang w:val="en-US"/>
        </w:rPr>
      </w:pPr>
      <w:r>
        <w:rPr>
          <w:lang w:val="en-US"/>
        </w:rPr>
        <w:t>The IAB node 1 determines (e.g. based on indication from Donor CU) that it should establish an additional path to the IAB node 3</w:t>
      </w:r>
      <w:r w:rsidR="00893656">
        <w:rPr>
          <w:lang w:val="en-US"/>
        </w:rPr>
        <w:t xml:space="preserve"> using the MT 2 functionality</w:t>
      </w:r>
      <w:r>
        <w:rPr>
          <w:lang w:val="en-US"/>
        </w:rPr>
        <w:t xml:space="preserve">. </w:t>
      </w:r>
      <w:r w:rsidR="00893656">
        <w:rPr>
          <w:lang w:val="en-US"/>
        </w:rPr>
        <w:t>The IAB node 1 goes through the normal connectivity setup</w:t>
      </w:r>
      <w:r w:rsidR="000453CC">
        <w:rPr>
          <w:lang w:val="en-US"/>
        </w:rPr>
        <w:t xml:space="preserve"> towards IAB node 3. The </w:t>
      </w:r>
      <w:r>
        <w:rPr>
          <w:lang w:val="en-US"/>
        </w:rPr>
        <w:t xml:space="preserve">Donor CU will configure 1 or more Backhaul RLC channels between the IAB node 1 and IAB node 3 as well as a new Adaptation Layer route for the new paths. Once the new path is setup on the adaptation layer the IAB node 1 can be allocated a new IP address 2 for the new path. The end result shown in figure </w:t>
      </w:r>
      <w:r w:rsidR="00DD4A54">
        <w:rPr>
          <w:lang w:val="en-US"/>
        </w:rPr>
        <w:t>3</w:t>
      </w:r>
      <w:r>
        <w:rPr>
          <w:lang w:val="en-US"/>
        </w:rPr>
        <w:t xml:space="preserve"> is that the IAB node 1 is connected via 2 paths, where each path has a separate IP address and can be used for F1-C/U application layer redundancy. </w:t>
      </w:r>
    </w:p>
    <w:p w14:paraId="0887B508" w14:textId="06223789" w:rsidR="003A09D8" w:rsidRDefault="009B58EC" w:rsidP="003A09D8">
      <w:pPr>
        <w:rPr>
          <w:lang w:val="en-US"/>
        </w:rPr>
      </w:pPr>
      <w:r w:rsidRPr="001327AF">
        <w:rPr>
          <w:lang w:val="en-US"/>
        </w:rPr>
        <w:object w:dxaOrig="9049" w:dyaOrig="3348" w14:anchorId="300B3777">
          <v:shape id="_x0000_i1029" type="#_x0000_t75" style="width:407.25pt;height:150pt" o:ole="">
            <v:imagedata r:id="rId22" o:title=""/>
          </v:shape>
          <o:OLEObject Type="Embed" ProgID="Visio.Drawing.15" ShapeID="_x0000_i1029" DrawAspect="Content" ObjectID="_1615321288" r:id="rId23"/>
        </w:object>
      </w:r>
    </w:p>
    <w:p w14:paraId="5938A296" w14:textId="5FF678AE" w:rsidR="003A09D8" w:rsidRDefault="003A09D8" w:rsidP="003A09D8">
      <w:pPr>
        <w:pStyle w:val="Caption"/>
        <w:rPr>
          <w:lang w:val="en-US"/>
        </w:rPr>
      </w:pPr>
      <w:r>
        <w:rPr>
          <w:lang w:val="en-US"/>
        </w:rPr>
        <w:t xml:space="preserve">Figure </w:t>
      </w:r>
      <w:r w:rsidR="000408E3">
        <w:rPr>
          <w:lang w:val="en-US"/>
        </w:rPr>
        <w:t>4</w:t>
      </w:r>
      <w:r>
        <w:rPr>
          <w:lang w:val="en-US"/>
        </w:rPr>
        <w:t xml:space="preserve"> setting up Dual Connectivity</w:t>
      </w:r>
    </w:p>
    <w:p w14:paraId="6896F560" w14:textId="7C8DE14F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813DE7E" w14:textId="57B751AB" w:rsidR="00CE6AD3" w:rsidRDefault="009B58EC" w:rsidP="00CE6AD3">
      <w:pPr>
        <w:pStyle w:val="Observation"/>
        <w:rPr>
          <w:lang w:val="en-US"/>
        </w:rPr>
      </w:pPr>
      <w:r>
        <w:rPr>
          <w:lang w:val="en-US"/>
        </w:rPr>
        <w:t xml:space="preserve">Multi-path connectivity can be supported with minimum </w:t>
      </w:r>
      <w:r w:rsidR="00A546BD">
        <w:rPr>
          <w:lang w:val="en-US"/>
        </w:rPr>
        <w:t xml:space="preserve">standard impact </w:t>
      </w:r>
      <w:r w:rsidR="007A0270">
        <w:rPr>
          <w:lang w:val="en-US"/>
        </w:rPr>
        <w:t xml:space="preserve">by associating the different paths </w:t>
      </w:r>
      <w:r w:rsidR="00CE6AD3">
        <w:rPr>
          <w:lang w:val="en-US"/>
        </w:rPr>
        <w:t xml:space="preserve">with different IP addresses and rely on F1 application layer mechanism to handle the multi-path aspects. </w:t>
      </w:r>
    </w:p>
    <w:p w14:paraId="33A03FE2" w14:textId="5ACC6CC5" w:rsidR="00CE6AD3" w:rsidRDefault="00CE6AD3" w:rsidP="00A46EB7">
      <w:pPr>
        <w:pStyle w:val="Observation"/>
        <w:rPr>
          <w:lang w:val="en-US"/>
        </w:rPr>
      </w:pPr>
      <w:r>
        <w:rPr>
          <w:lang w:val="en-US"/>
        </w:rPr>
        <w:t xml:space="preserve">The </w:t>
      </w:r>
      <w:r w:rsidR="00E0361E">
        <w:rPr>
          <w:lang w:val="en-US"/>
        </w:rPr>
        <w:t xml:space="preserve">user plane solution could be the same regardless if NR DC control plane is used to configure the two legs, or if each leg is treated </w:t>
      </w:r>
      <w:r w:rsidR="00A46EB7">
        <w:rPr>
          <w:lang w:val="en-US"/>
        </w:rPr>
        <w:t>as a separate MT connection.</w:t>
      </w:r>
    </w:p>
    <w:p w14:paraId="6F75A6F1" w14:textId="77777777" w:rsidR="00982B44" w:rsidRDefault="00982B44" w:rsidP="00982B44">
      <w:pPr>
        <w:pStyle w:val="Observation"/>
        <w:numPr>
          <w:ilvl w:val="0"/>
          <w:numId w:val="0"/>
        </w:numPr>
        <w:rPr>
          <w:lang w:val="en-US"/>
        </w:rPr>
      </w:pPr>
    </w:p>
    <w:p w14:paraId="062F6212" w14:textId="25D48BDB" w:rsidR="00B20686" w:rsidRDefault="00680ECE" w:rsidP="009F126B">
      <w:pPr>
        <w:pStyle w:val="Proposal"/>
        <w:rPr>
          <w:lang w:val="en-US"/>
        </w:rPr>
      </w:pPr>
      <w:r>
        <w:rPr>
          <w:lang w:val="en-US"/>
        </w:rPr>
        <w:t>M</w:t>
      </w:r>
      <w:r w:rsidR="00A46EB7" w:rsidRPr="00A46EB7">
        <w:rPr>
          <w:lang w:val="en-US"/>
        </w:rPr>
        <w:t>ulti-path connectivity</w:t>
      </w:r>
      <w:r>
        <w:rPr>
          <w:lang w:val="en-US"/>
        </w:rPr>
        <w:t xml:space="preserve"> for IAB nodes should be supported by assigning each path a </w:t>
      </w:r>
      <w:r w:rsidR="00B20686">
        <w:rPr>
          <w:lang w:val="en-US"/>
        </w:rPr>
        <w:t xml:space="preserve">different </w:t>
      </w:r>
      <w:r w:rsidR="0084745C">
        <w:rPr>
          <w:lang w:val="en-US"/>
        </w:rPr>
        <w:t>IP address</w:t>
      </w:r>
      <w:r w:rsidR="00D35156">
        <w:rPr>
          <w:lang w:val="en-US"/>
        </w:rPr>
        <w:t xml:space="preserve">, making it possible to </w:t>
      </w:r>
      <w:r w:rsidR="00165365">
        <w:rPr>
          <w:lang w:val="en-US"/>
        </w:rPr>
        <w:t xml:space="preserve">support redundancy and load balancing </w:t>
      </w:r>
      <w:proofErr w:type="gramStart"/>
      <w:r w:rsidR="00165365">
        <w:rPr>
          <w:lang w:val="en-US"/>
        </w:rPr>
        <w:t>using  F</w:t>
      </w:r>
      <w:proofErr w:type="gramEnd"/>
      <w:r w:rsidR="00165365">
        <w:rPr>
          <w:lang w:val="en-US"/>
        </w:rPr>
        <w:t>1 application layer mechanism.</w:t>
      </w:r>
    </w:p>
    <w:p w14:paraId="33FC92EC" w14:textId="743779DE" w:rsidR="008C4696" w:rsidRDefault="008C4696" w:rsidP="009F126B">
      <w:pPr>
        <w:pStyle w:val="Proposal"/>
        <w:rPr>
          <w:lang w:val="en-US"/>
        </w:rPr>
      </w:pPr>
      <w:r>
        <w:rPr>
          <w:lang w:val="en-US"/>
        </w:rPr>
        <w:t>The standard should allow for solutions where the multi-path connectivity setup is done using multiple logical MTs going through normal connectivity setup.</w:t>
      </w:r>
    </w:p>
    <w:p w14:paraId="4C062B93" w14:textId="412A39E4" w:rsidR="00F3067D" w:rsidRDefault="001A4C27" w:rsidP="009F126B">
      <w:pPr>
        <w:pStyle w:val="Proposal"/>
        <w:rPr>
          <w:lang w:val="en-US"/>
        </w:rPr>
      </w:pPr>
      <w:r>
        <w:rPr>
          <w:lang w:val="en-US"/>
        </w:rPr>
        <w:t xml:space="preserve">The standard </w:t>
      </w:r>
      <w:r w:rsidR="00F3067D">
        <w:rPr>
          <w:lang w:val="en-US"/>
        </w:rPr>
        <w:t xml:space="preserve">should </w:t>
      </w:r>
      <w:r w:rsidR="004A0C99">
        <w:rPr>
          <w:lang w:val="en-US"/>
        </w:rPr>
        <w:t xml:space="preserve">support the </w:t>
      </w:r>
      <w:r w:rsidR="00F3067D">
        <w:rPr>
          <w:lang w:val="en-US"/>
        </w:rPr>
        <w:t xml:space="preserve">possible to setup multi-path using NR DC control plane solution. </w:t>
      </w:r>
    </w:p>
    <w:p w14:paraId="1BBAC14A" w14:textId="6695ED33" w:rsidR="007213F2" w:rsidRDefault="007213F2" w:rsidP="00AA0471">
      <w:pPr>
        <w:rPr>
          <w:lang w:val="en-US"/>
        </w:rPr>
      </w:pPr>
    </w:p>
    <w:p w14:paraId="2CAD09F3" w14:textId="28D91864" w:rsidR="00E96D45" w:rsidRDefault="00610DB3" w:rsidP="00706C44">
      <w:pPr>
        <w:pStyle w:val="Heading1"/>
      </w:pPr>
      <w:r>
        <w:t>References</w:t>
      </w:r>
    </w:p>
    <w:p w14:paraId="05638899" w14:textId="3D87CA7E" w:rsidR="00E96D45" w:rsidRDefault="00E96D45" w:rsidP="00E96D45">
      <w:r>
        <w:t>[1] R2-1902063</w:t>
      </w:r>
      <w:r w:rsidR="0095675A">
        <w:tab/>
      </w:r>
      <w:r>
        <w:t>RLF handling in intermediate IAB nodes</w:t>
      </w:r>
      <w:r>
        <w:tab/>
        <w:t>Samsung R&amp;D Institute UK</w:t>
      </w:r>
      <w:r w:rsidR="0095675A" w:rsidRPr="00772E0E">
        <w:t>, RAN2#105</w:t>
      </w:r>
      <w:r w:rsidR="00111324">
        <w:t>.</w:t>
      </w:r>
    </w:p>
    <w:p w14:paraId="567BF679" w14:textId="1D702901" w:rsidR="00E96D45" w:rsidRDefault="00E96D45" w:rsidP="00E96D45">
      <w:r>
        <w:t>[2] R2-1900627</w:t>
      </w:r>
      <w:r w:rsidR="0095675A">
        <w:tab/>
      </w:r>
      <w:r>
        <w:t>Backhaul link RLF handling</w:t>
      </w:r>
      <w:r>
        <w:tab/>
        <w:t>Nokia, Nokia Shanghai Bell</w:t>
      </w:r>
      <w:r w:rsidR="0095675A" w:rsidRPr="00772E0E">
        <w:t>, RAN2#105</w:t>
      </w:r>
      <w:r w:rsidR="00111324">
        <w:t>.</w:t>
      </w:r>
    </w:p>
    <w:p w14:paraId="671C6EAE" w14:textId="72E1CE0C" w:rsidR="00E96D45" w:rsidRDefault="00E96D45" w:rsidP="00E96D45">
      <w:r>
        <w:t>[3] R2-1900571</w:t>
      </w:r>
      <w:r>
        <w:tab/>
        <w:t>Discussion on IAB BH RLF handling</w:t>
      </w:r>
      <w:r>
        <w:tab/>
      </w:r>
      <w:proofErr w:type="spellStart"/>
      <w:r>
        <w:t>ShenZhen</w:t>
      </w:r>
      <w:proofErr w:type="spellEnd"/>
      <w:r>
        <w:t xml:space="preserve"> </w:t>
      </w:r>
      <w:proofErr w:type="spellStart"/>
      <w:r>
        <w:t>Zhongxing</w:t>
      </w:r>
      <w:proofErr w:type="spellEnd"/>
      <w:r>
        <w:t xml:space="preserve"> </w:t>
      </w:r>
      <w:proofErr w:type="spellStart"/>
      <w:r>
        <w:t>Shitong</w:t>
      </w:r>
      <w:proofErr w:type="spellEnd"/>
      <w:r w:rsidR="0095675A" w:rsidRPr="00772E0E">
        <w:t>, RAN2#105</w:t>
      </w:r>
      <w:r w:rsidR="00111324">
        <w:t>.</w:t>
      </w:r>
    </w:p>
    <w:p w14:paraId="014F54DA" w14:textId="5BAA9586" w:rsidR="00E96D45" w:rsidRPr="00772E0E" w:rsidRDefault="00E96D45" w:rsidP="00E96D45">
      <w:r w:rsidRPr="00772E0E">
        <w:t>[</w:t>
      </w:r>
      <w:r>
        <w:t>4</w:t>
      </w:r>
      <w:r w:rsidRPr="00772E0E">
        <w:t>] R2-1901383</w:t>
      </w:r>
      <w:r w:rsidR="0095675A">
        <w:tab/>
      </w:r>
      <w:r w:rsidRPr="00772E0E">
        <w:rPr>
          <w:rFonts w:cs="Arial"/>
          <w:color w:val="333333"/>
          <w:sz w:val="21"/>
          <w:szCs w:val="21"/>
          <w:lang w:val="en"/>
        </w:rPr>
        <w:t>IP Address Assignment for IAB Nodes</w:t>
      </w:r>
      <w:r w:rsidRPr="00772E0E">
        <w:t>, Ericsson</w:t>
      </w:r>
      <w:r w:rsidR="0095675A" w:rsidRPr="00772E0E">
        <w:t>, RAN2#105</w:t>
      </w:r>
      <w:r w:rsidR="00111324">
        <w:t>.</w:t>
      </w:r>
    </w:p>
    <w:p w14:paraId="20B9BC02" w14:textId="77777777" w:rsidR="007213F2" w:rsidRPr="00E96D45" w:rsidRDefault="007213F2" w:rsidP="00AA0471">
      <w:pPr>
        <w:rPr>
          <w:b/>
        </w:rPr>
      </w:pPr>
    </w:p>
    <w:sectPr w:rsidR="007213F2" w:rsidRPr="00E96D45">
      <w:headerReference w:type="even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77F06" w14:textId="77777777" w:rsidR="005E0BFC" w:rsidRDefault="005E0BFC">
      <w:r>
        <w:separator/>
      </w:r>
    </w:p>
  </w:endnote>
  <w:endnote w:type="continuationSeparator" w:id="0">
    <w:p w14:paraId="792A2BB8" w14:textId="77777777" w:rsidR="005E0BFC" w:rsidRDefault="005E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655AC" w14:textId="77777777" w:rsidR="005E0BFC" w:rsidRDefault="005E0BFC">
      <w:r>
        <w:separator/>
      </w:r>
    </w:p>
  </w:footnote>
  <w:footnote w:type="continuationSeparator" w:id="0">
    <w:p w14:paraId="69F95200" w14:textId="77777777" w:rsidR="005E0BFC" w:rsidRDefault="005E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7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5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6"/>
  </w:num>
  <w:num w:numId="23">
    <w:abstractNumId w:val="8"/>
  </w:num>
  <w:num w:numId="24">
    <w:abstractNumId w:val="20"/>
  </w:num>
  <w:num w:numId="25">
    <w:abstractNumId w:val="7"/>
  </w:num>
  <w:num w:numId="26">
    <w:abstractNumId w:val="27"/>
  </w:num>
  <w:num w:numId="27">
    <w:abstractNumId w:val="13"/>
  </w:num>
  <w:num w:numId="28">
    <w:abstractNumId w:val="18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5034"/>
    <w:rsid w:val="00015851"/>
    <w:rsid w:val="00015D15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08E3"/>
    <w:rsid w:val="000422E2"/>
    <w:rsid w:val="00042F22"/>
    <w:rsid w:val="000444EF"/>
    <w:rsid w:val="000453CC"/>
    <w:rsid w:val="00045D2B"/>
    <w:rsid w:val="00045F4A"/>
    <w:rsid w:val="0004775E"/>
    <w:rsid w:val="00050CF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DC5"/>
    <w:rsid w:val="00116765"/>
    <w:rsid w:val="001219F5"/>
    <w:rsid w:val="00121A20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3A8E"/>
    <w:rsid w:val="00177732"/>
    <w:rsid w:val="00177795"/>
    <w:rsid w:val="0018143F"/>
    <w:rsid w:val="0018198C"/>
    <w:rsid w:val="00185798"/>
    <w:rsid w:val="0019011B"/>
    <w:rsid w:val="00190AC1"/>
    <w:rsid w:val="0019341A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6162"/>
    <w:rsid w:val="002805F5"/>
    <w:rsid w:val="00280751"/>
    <w:rsid w:val="00280DD1"/>
    <w:rsid w:val="00281320"/>
    <w:rsid w:val="0028280A"/>
    <w:rsid w:val="00282D78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C0564"/>
    <w:rsid w:val="002C161A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704D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5FAD"/>
    <w:rsid w:val="003F6BBE"/>
    <w:rsid w:val="003F7F2D"/>
    <w:rsid w:val="004000E8"/>
    <w:rsid w:val="00400AF6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20368"/>
    <w:rsid w:val="00421105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56F8"/>
    <w:rsid w:val="00457565"/>
    <w:rsid w:val="00457B71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43F2"/>
    <w:rsid w:val="004B7C0C"/>
    <w:rsid w:val="004C1391"/>
    <w:rsid w:val="004C2C9B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0CB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4DF"/>
    <w:rsid w:val="005B591A"/>
    <w:rsid w:val="005B6F83"/>
    <w:rsid w:val="005C242C"/>
    <w:rsid w:val="005C4806"/>
    <w:rsid w:val="005C74FB"/>
    <w:rsid w:val="005D1369"/>
    <w:rsid w:val="005D1602"/>
    <w:rsid w:val="005D24DF"/>
    <w:rsid w:val="005E0BFC"/>
    <w:rsid w:val="005E2306"/>
    <w:rsid w:val="005E299C"/>
    <w:rsid w:val="005E385F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7D70"/>
    <w:rsid w:val="00610DB3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3EC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6948"/>
    <w:rsid w:val="007571E1"/>
    <w:rsid w:val="007604B2"/>
    <w:rsid w:val="00762CA4"/>
    <w:rsid w:val="00765281"/>
    <w:rsid w:val="00765FC0"/>
    <w:rsid w:val="00766BAD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3656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F1"/>
    <w:rsid w:val="008D39D8"/>
    <w:rsid w:val="008D39DB"/>
    <w:rsid w:val="008D6D1A"/>
    <w:rsid w:val="008E065E"/>
    <w:rsid w:val="008E090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63B8"/>
    <w:rsid w:val="009D2E39"/>
    <w:rsid w:val="009D41EA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7F9"/>
    <w:rsid w:val="00B20256"/>
    <w:rsid w:val="00B20686"/>
    <w:rsid w:val="00B20D09"/>
    <w:rsid w:val="00B240CA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34DB"/>
    <w:rsid w:val="00D77B1D"/>
    <w:rsid w:val="00D8021F"/>
    <w:rsid w:val="00D80383"/>
    <w:rsid w:val="00D80A6C"/>
    <w:rsid w:val="00D80A6D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7D72"/>
    <w:rsid w:val="00DA089B"/>
    <w:rsid w:val="00DA305E"/>
    <w:rsid w:val="00DA5417"/>
    <w:rsid w:val="00DA56E8"/>
    <w:rsid w:val="00DA6382"/>
    <w:rsid w:val="00DB0A9F"/>
    <w:rsid w:val="00DB3499"/>
    <w:rsid w:val="00DB377D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5070"/>
    <w:rsid w:val="00E46886"/>
    <w:rsid w:val="00E47AEF"/>
    <w:rsid w:val="00E5068B"/>
    <w:rsid w:val="00E51EA7"/>
    <w:rsid w:val="00E53B75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C3F"/>
    <w:rsid w:val="00EE6F97"/>
    <w:rsid w:val="00EF18E8"/>
    <w:rsid w:val="00EF18FE"/>
    <w:rsid w:val="00EF1E02"/>
    <w:rsid w:val="00EF4C5F"/>
    <w:rsid w:val="00EF5787"/>
    <w:rsid w:val="00EF60D0"/>
    <w:rsid w:val="00F00C89"/>
    <w:rsid w:val="00F00CAB"/>
    <w:rsid w:val="00F0462E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46F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5NUHHDQN7SK2-1476151046-43283</_dlc_DocId>
    <_dlc_DocIdUrl xmlns="f166a696-7b5b-4ccd-9f0c-ffde0cceec81">
      <Url>https://ericsson.sharepoint.com/sites/star/_layouts/15/DocIdRedir.aspx?ID=5NUHHDQN7SK2-1476151046-43283</Url>
      <Description>5NUHHDQN7SK2-1476151046-43283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A1DD29B-1D06-4453-ADE8-0D7A5C71A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218</TotalTime>
  <Pages>5</Pages>
  <Words>1372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163</cp:revision>
  <cp:lastPrinted>2008-01-31T16:09:00Z</cp:lastPrinted>
  <dcterms:created xsi:type="dcterms:W3CDTF">2019-03-12T13:05:00Z</dcterms:created>
  <dcterms:modified xsi:type="dcterms:W3CDTF">2019-03-28T22:35:00Z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a791c067-67b9-472f-a6d0-d030d39e0c7a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